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“ОБУЧЕНИЕ НАВЫКАМ ОКАЗАНИЯ ПЕРВОЙ ПОМОЩИ ПОСТРАДАВШИМ ПРИ НЕСЧАСТНОМ СЛУЧАЕ НА ПРОИЗВОДСТВЕ”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</w:t>
      </w:r>
      <w:r w:rsidDel="00000000" w:rsidR="00000000" w:rsidRPr="00000000">
        <w:rPr>
          <w:b w:val="1"/>
          <w:color w:val="000000"/>
          <w:rtl w:val="0"/>
        </w:rPr>
        <w:t xml:space="preserve">огласно Порядку  обучения по  охране труда и проверки знания требований охраны труда Постановление Правительства РФ от 24 декабря 2021 г. № 2464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sz w:val="24"/>
          <w:szCs w:val="24"/>
          <w:rtl w:val="0"/>
        </w:rPr>
        <w:t xml:space="preserve">олучение слушателями теоретических знаний и практических умений, необходимых для оказания первой неотложной помощи на месте происшествия, сохранения здоровья,  жизни, трудоспособности пострадавших при несчастных случаях на производстве, при чрезвычайных ситуациях, авариях, катастрофах, навыкам само и взаимопомощи.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Категории слушателей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Руководители и специалисты.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Работники рабочих профессий.</w:t>
      </w:r>
    </w:p>
    <w:p w:rsidR="00000000" w:rsidDel="00000000" w:rsidP="00000000" w:rsidRDefault="00000000" w:rsidRPr="00000000" w14:paraId="0000001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 часов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Форма обучения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 отрывом от производства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Режим занятий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дня по 5 часов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3315"/>
        <w:gridCol w:w="1080"/>
        <w:gridCol w:w="1515"/>
        <w:gridCol w:w="1650"/>
        <w:gridCol w:w="1845"/>
        <w:tblGridChange w:id="0">
          <w:tblGrid>
            <w:gridCol w:w="765"/>
            <w:gridCol w:w="3315"/>
            <w:gridCol w:w="1080"/>
            <w:gridCol w:w="1515"/>
            <w:gridCol w:w="1650"/>
            <w:gridCol w:w="184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ind w:left="-5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  разделов, дисциплин 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ind w:left="25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 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124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Формы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-5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-124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Организационно ­ правовые аспекты оказания первой помощи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Нормативно ­ правовая база, определяющая права, обязанности и ответственность при оказании первой помощи. Понятие “первая помощь”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Современные наборы средств и устройств, использующиеся для оказания первой помощи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последовательность действий на месте происшествия с наличием пострадавших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правила вызова скорой медицинской помощи и других специальных служб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Оказание первой помощи при отсутствии сознания, остановке дыхания и кровообращения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признаки жизни у пострадавшего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Современный алгоритм проведения сердечно-легочной реанимации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Ошибки и осложнения, возникающие при выполнении реанимационных мероприятий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Порядок оказания первой помощи при частичном и полном нарушении проходимости верхних дыхательных путей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навыков и приемов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Оказание первой помощи при наружных кровотечениях и травмах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Понятия «кровотечение», «острая кровопотеря». Признаки различных видов наружного кровотечения. Способы временной остановки наружного кровотечения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травматическом шоке, причины и признаки</w:t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и последовательность подробного осмотра пострадавшего. Основные состояния, с которыми может столкнуться участник оказания первой помощи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головы. Оказание первой помощи.</w:t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шеи, оказание первой помощи.</w:t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груди, оказание первой помощи.</w:t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живота и таза, основные проявления. Оказание первой помощи.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конечностей, оказание первой помощи. </w:t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Травмы позвоночника. Оказание первой помощи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навыков и приемов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Оказание первой помощи при прочих состояниях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ожогов, их признаки.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Перегревание, факторы, способствующие его развитию. Холодовая  травма, ее виды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Отравления, пути попадания ядов в организм. Признаки острого отравления.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и принципы придания пострадавшим оптимальных положений тела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Психологическая поддержка.</w:t>
            </w:r>
          </w:p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Принципы передачи пострадавшего бригаде скорой медицинской помощи, другим специальным службам.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43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Отработка навыков и приемов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Консультирование, экзамен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Экзамен, тесты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